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68C0E" w14:textId="45EEE77F" w:rsidR="007F7E34" w:rsidRDefault="00D93ABE">
      <w:r w:rsidRPr="00D93ABE">
        <w:t>Решение совета депутатов г. Белгорода от 26.02.2015 г. № 199 «Об утверждении Положения об особенностях предоставления в аренду объектов культурного наследия (памятников истории и культуры), являющихся муниципальной собственностью городского округа «Город Белгород» и находящихся в неудовлетворительном состоянии»</w:t>
      </w:r>
    </w:p>
    <w:sectPr w:rsidR="007F7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BE"/>
    <w:rsid w:val="00440736"/>
    <w:rsid w:val="007F7E34"/>
    <w:rsid w:val="00D9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BD8B9"/>
  <w15:chartTrackingRefBased/>
  <w15:docId w15:val="{794975A5-5CFC-4F75-8E4D-FF63F61C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Колганов</dc:creator>
  <cp:keywords/>
  <dc:description/>
  <cp:lastModifiedBy>Иван Колганов</cp:lastModifiedBy>
  <cp:revision>1</cp:revision>
  <dcterms:created xsi:type="dcterms:W3CDTF">2022-12-12T17:37:00Z</dcterms:created>
  <dcterms:modified xsi:type="dcterms:W3CDTF">2022-12-12T17:37:00Z</dcterms:modified>
</cp:coreProperties>
</file>