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526695" w:rsidRDefault="008574EB" w:rsidP="00526695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Департамент городского хозяйства администрации города Белгорода уведомляет 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  <w:t xml:space="preserve">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  <w:t xml:space="preserve">от </w:t>
            </w:r>
            <w:r w:rsidR="00526695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21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526695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ноября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202</w:t>
            </w:r>
            <w:r w:rsidR="00675107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</w:t>
            </w:r>
            <w:r w:rsidR="00A44C9D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№ 1</w:t>
            </w:r>
            <w:r w:rsidR="00526695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79</w:t>
            </w:r>
            <w:r w:rsidR="00A44C9D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«</w:t>
            </w:r>
            <w:r w:rsidR="00526695" w:rsidRPr="00526695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О проведении в 2025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</w:t>
            </w:r>
            <w:proofErr w:type="gramEnd"/>
          </w:p>
          <w:p w:rsidR="00526695" w:rsidRDefault="00526695" w:rsidP="00526695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526695">
              <w:rPr>
                <w:rFonts w:ascii="Times New Roman" w:hAnsi="Times New Roman" w:cs="Times New Roman"/>
                <w:b w:val="0"/>
                <w:sz w:val="24"/>
                <w:szCs w:val="28"/>
              </w:rPr>
              <w:t>о проведении капитального ремонта общего имущества в этих многоквартирных домах</w:t>
            </w:r>
            <w:r w:rsidR="00A44C9D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 </w:t>
            </w:r>
          </w:p>
          <w:p w:rsidR="00287A7A" w:rsidRPr="00526695" w:rsidRDefault="00A30252" w:rsidP="00526695">
            <w:pPr>
              <w:pStyle w:val="ConsPlusTitle"/>
              <w:spacing w:line="238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предмет их влияния </w:t>
            </w:r>
            <w:r w:rsidR="008574EB" w:rsidRPr="0052669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26695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BA43E6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26695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</w:t>
            </w:r>
            <w:bookmarkStart w:id="0" w:name="_GoBack"/>
            <w:bookmarkEnd w:id="0"/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ода по </w:t>
            </w:r>
            <w:r w:rsidR="00526695">
              <w:rPr>
                <w:color w:val="000000" w:themeColor="text1"/>
                <w:sz w:val="24"/>
                <w:szCs w:val="24"/>
                <w:lang w:eastAsia="ru-RU"/>
              </w:rPr>
              <w:t>21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26695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26695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43E6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299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18</cp:revision>
  <cp:lastPrinted>2024-05-29T08:35:00Z</cp:lastPrinted>
  <dcterms:created xsi:type="dcterms:W3CDTF">2024-05-29T07:29:00Z</dcterms:created>
  <dcterms:modified xsi:type="dcterms:W3CDTF">2024-12-18T08:44:00Z</dcterms:modified>
</cp:coreProperties>
</file>